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8A" w:rsidRDefault="00CC028A" w:rsidP="00CC028A">
      <w:pPr>
        <w:ind w:left="0"/>
        <w:jc w:val="right"/>
        <w:rPr>
          <w:szCs w:val="24"/>
        </w:rPr>
      </w:pPr>
      <w:r w:rsidRPr="002C3910">
        <w:rPr>
          <w:szCs w:val="24"/>
        </w:rPr>
        <w:t xml:space="preserve">      D-151</w:t>
      </w:r>
    </w:p>
    <w:p w:rsidR="00CC028A" w:rsidRPr="002C3910" w:rsidRDefault="00CC028A" w:rsidP="00CC028A">
      <w:pPr>
        <w:ind w:left="0"/>
        <w:jc w:val="right"/>
        <w:rPr>
          <w:szCs w:val="24"/>
        </w:rPr>
      </w:pPr>
      <w:r>
        <w:rPr>
          <w:szCs w:val="24"/>
        </w:rPr>
        <w:t>AR-OCS</w:t>
      </w:r>
    </w:p>
    <w:p w:rsidR="00CC028A" w:rsidRDefault="00CC028A" w:rsidP="00CC028A">
      <w:pPr>
        <w:ind w:left="0"/>
        <w:jc w:val="center"/>
        <w:rPr>
          <w:b/>
          <w:szCs w:val="24"/>
        </w:rPr>
      </w:pPr>
    </w:p>
    <w:p w:rsidR="00CC028A" w:rsidRDefault="00CC028A" w:rsidP="00CC028A">
      <w:pPr>
        <w:ind w:left="0"/>
        <w:jc w:val="center"/>
        <w:rPr>
          <w:b/>
          <w:sz w:val="26"/>
          <w:szCs w:val="26"/>
        </w:rPr>
      </w:pPr>
      <w:r w:rsidRPr="002C3910">
        <w:rPr>
          <w:b/>
          <w:szCs w:val="24"/>
        </w:rPr>
        <w:t>SCHOOL WELLNESS PROGRAM IMPLEMENTATION CHECKLIST</w:t>
      </w:r>
      <w:r w:rsidRPr="002C3910">
        <w:rPr>
          <w:b/>
          <w:szCs w:val="24"/>
        </w:rPr>
        <w:tab/>
      </w:r>
      <w:r w:rsidRPr="002C3910">
        <w:rPr>
          <w:b/>
          <w:szCs w:val="24"/>
        </w:rPr>
        <w:tab/>
      </w:r>
      <w:r w:rsidRPr="002C3910">
        <w:rPr>
          <w:b/>
          <w:szCs w:val="24"/>
        </w:rPr>
        <w:tab/>
        <w:t xml:space="preserve">      </w:t>
      </w:r>
    </w:p>
    <w:p w:rsidR="00CC028A" w:rsidRDefault="00CC028A" w:rsidP="00CC028A">
      <w:pPr>
        <w:ind w:left="0"/>
        <w:jc w:val="center"/>
        <w:rPr>
          <w:b/>
          <w:sz w:val="26"/>
          <w:szCs w:val="26"/>
        </w:rPr>
      </w:pPr>
    </w:p>
    <w:p w:rsidR="00CC028A" w:rsidRDefault="00CC028A" w:rsidP="00CC028A">
      <w:pPr>
        <w:ind w:left="0"/>
        <w:jc w:val="both"/>
        <w:rPr>
          <w:szCs w:val="24"/>
        </w:rPr>
      </w:pPr>
      <w:r>
        <w:rPr>
          <w:szCs w:val="24"/>
        </w:rPr>
        <w:t>Definition:  Integration of programs that provide access to a variety of nutritious, affordable and appealing meals and snacks for students; nutrition education; and an environment that promotes healthy eating behaviors.</w:t>
      </w:r>
    </w:p>
    <w:p w:rsidR="00CC028A" w:rsidRDefault="00CC028A" w:rsidP="00CC028A">
      <w:pPr>
        <w:ind w:left="0"/>
        <w:jc w:val="both"/>
        <w:rPr>
          <w:szCs w:val="24"/>
        </w:rPr>
      </w:pPr>
    </w:p>
    <w:p w:rsidR="00CC028A" w:rsidRDefault="00CC028A" w:rsidP="00CC028A">
      <w:pPr>
        <w:ind w:left="0"/>
        <w:jc w:val="both"/>
        <w:rPr>
          <w:szCs w:val="24"/>
        </w:rPr>
      </w:pPr>
      <w:r>
        <w:rPr>
          <w:szCs w:val="24"/>
        </w:rPr>
        <w:t>Goal:  The goal of nutrition is to promote the role of nutrition in academic performance and quality of life, and to ensure the adoption of school policies which provide adequate opportunities to be able to encourage and support healthy eating by students.</w:t>
      </w:r>
    </w:p>
    <w:p w:rsidR="00CC028A" w:rsidRDefault="00CC028A" w:rsidP="00CC028A">
      <w:pPr>
        <w:ind w:left="0"/>
        <w:jc w:val="both"/>
        <w:rPr>
          <w:szCs w:val="24"/>
        </w:rPr>
      </w:pPr>
    </w:p>
    <w:p w:rsidR="00CC028A" w:rsidRDefault="00CC028A" w:rsidP="00CC028A">
      <w:pPr>
        <w:ind w:left="0"/>
        <w:jc w:val="both"/>
        <w:rPr>
          <w:szCs w:val="24"/>
        </w:rPr>
      </w:pPr>
    </w:p>
    <w:p w:rsidR="00CC028A" w:rsidRDefault="00CC028A" w:rsidP="00CC028A">
      <w:pPr>
        <w:ind w:left="0"/>
        <w:jc w:val="both"/>
        <w:rPr>
          <w:b/>
          <w:sz w:val="18"/>
          <w:szCs w:val="18"/>
        </w:rPr>
      </w:pPr>
      <w:r w:rsidRPr="00177DF9">
        <w:rPr>
          <w:b/>
          <w:sz w:val="18"/>
          <w:szCs w:val="18"/>
        </w:rPr>
        <w:t>Check One Box Which Best Describes the Current Level of Implementation</w:t>
      </w:r>
    </w:p>
    <w:p w:rsidR="00CC028A" w:rsidRPr="00177DF9" w:rsidRDefault="00CC028A" w:rsidP="00CC028A">
      <w:pPr>
        <w:ind w:left="0"/>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1334"/>
        <w:gridCol w:w="1430"/>
        <w:gridCol w:w="1429"/>
        <w:gridCol w:w="1422"/>
      </w:tblGrid>
      <w:tr w:rsidR="00CC028A" w:rsidRPr="00302810" w:rsidTr="00556BDA">
        <w:tc>
          <w:tcPr>
            <w:tcW w:w="3798" w:type="dxa"/>
            <w:shd w:val="clear" w:color="auto" w:fill="auto"/>
          </w:tcPr>
          <w:p w:rsidR="00CC028A" w:rsidRPr="00302810" w:rsidRDefault="00CC028A" w:rsidP="00556BDA">
            <w:pPr>
              <w:ind w:left="0"/>
              <w:jc w:val="both"/>
              <w:rPr>
                <w:sz w:val="20"/>
                <w:szCs w:val="20"/>
              </w:rPr>
            </w:pPr>
          </w:p>
        </w:tc>
        <w:tc>
          <w:tcPr>
            <w:tcW w:w="1350" w:type="dxa"/>
            <w:shd w:val="clear" w:color="auto" w:fill="auto"/>
          </w:tcPr>
          <w:p w:rsidR="00CC028A" w:rsidRDefault="00CC028A" w:rsidP="00556BDA">
            <w:pPr>
              <w:ind w:left="0"/>
              <w:jc w:val="center"/>
              <w:rPr>
                <w:b/>
                <w:sz w:val="20"/>
                <w:szCs w:val="20"/>
              </w:rPr>
            </w:pPr>
          </w:p>
          <w:p w:rsidR="00CC028A" w:rsidRDefault="00CC028A" w:rsidP="00556BDA">
            <w:pPr>
              <w:ind w:left="0"/>
              <w:jc w:val="center"/>
              <w:rPr>
                <w:b/>
                <w:sz w:val="20"/>
                <w:szCs w:val="20"/>
              </w:rPr>
            </w:pPr>
          </w:p>
          <w:p w:rsidR="00CC028A" w:rsidRPr="00302810" w:rsidRDefault="00CC028A" w:rsidP="00556BDA">
            <w:pPr>
              <w:ind w:left="0"/>
              <w:jc w:val="center"/>
              <w:rPr>
                <w:b/>
                <w:sz w:val="20"/>
                <w:szCs w:val="20"/>
              </w:rPr>
            </w:pPr>
            <w:r w:rsidRPr="00302810">
              <w:rPr>
                <w:b/>
                <w:sz w:val="20"/>
                <w:szCs w:val="20"/>
              </w:rPr>
              <w:t>In Place</w:t>
            </w:r>
          </w:p>
        </w:tc>
        <w:tc>
          <w:tcPr>
            <w:tcW w:w="1440" w:type="dxa"/>
            <w:shd w:val="clear" w:color="auto" w:fill="auto"/>
          </w:tcPr>
          <w:p w:rsidR="00CC028A" w:rsidRPr="00302810" w:rsidRDefault="00CC028A" w:rsidP="00556BDA">
            <w:pPr>
              <w:ind w:left="0"/>
              <w:jc w:val="center"/>
              <w:rPr>
                <w:b/>
                <w:sz w:val="20"/>
                <w:szCs w:val="20"/>
              </w:rPr>
            </w:pPr>
            <w:r w:rsidRPr="00302810">
              <w:rPr>
                <w:b/>
                <w:sz w:val="20"/>
                <w:szCs w:val="20"/>
              </w:rPr>
              <w:t>In Process</w:t>
            </w:r>
          </w:p>
          <w:p w:rsidR="00CC028A" w:rsidRPr="00302810" w:rsidRDefault="00CC028A" w:rsidP="00556BDA">
            <w:pPr>
              <w:ind w:left="0"/>
              <w:jc w:val="center"/>
              <w:rPr>
                <w:b/>
                <w:sz w:val="20"/>
                <w:szCs w:val="20"/>
              </w:rPr>
            </w:pPr>
            <w:r w:rsidRPr="00302810">
              <w:rPr>
                <w:b/>
                <w:sz w:val="20"/>
                <w:szCs w:val="20"/>
              </w:rPr>
              <w:t>(partially in place)</w:t>
            </w:r>
          </w:p>
        </w:tc>
        <w:tc>
          <w:tcPr>
            <w:tcW w:w="1440" w:type="dxa"/>
            <w:shd w:val="clear" w:color="auto" w:fill="auto"/>
          </w:tcPr>
          <w:p w:rsidR="00CC028A" w:rsidRDefault="00CC028A" w:rsidP="00556BDA">
            <w:pPr>
              <w:ind w:left="0"/>
              <w:jc w:val="center"/>
              <w:rPr>
                <w:b/>
                <w:sz w:val="20"/>
                <w:szCs w:val="20"/>
              </w:rPr>
            </w:pPr>
          </w:p>
          <w:p w:rsidR="00CC028A" w:rsidRPr="00302810" w:rsidRDefault="00CC028A" w:rsidP="00556BDA">
            <w:pPr>
              <w:ind w:left="0"/>
              <w:jc w:val="center"/>
              <w:rPr>
                <w:b/>
                <w:sz w:val="20"/>
                <w:szCs w:val="20"/>
              </w:rPr>
            </w:pPr>
            <w:r w:rsidRPr="00302810">
              <w:rPr>
                <w:b/>
                <w:sz w:val="20"/>
                <w:szCs w:val="20"/>
              </w:rPr>
              <w:t>In Planning Phase</w:t>
            </w:r>
          </w:p>
        </w:tc>
        <w:tc>
          <w:tcPr>
            <w:tcW w:w="1440" w:type="dxa"/>
            <w:shd w:val="clear" w:color="auto" w:fill="auto"/>
          </w:tcPr>
          <w:p w:rsidR="00CC028A" w:rsidRDefault="00CC028A" w:rsidP="00556BDA">
            <w:pPr>
              <w:ind w:left="0"/>
              <w:jc w:val="center"/>
              <w:rPr>
                <w:b/>
                <w:sz w:val="20"/>
                <w:szCs w:val="20"/>
              </w:rPr>
            </w:pPr>
          </w:p>
          <w:p w:rsidR="00CC028A" w:rsidRDefault="00CC028A" w:rsidP="00556BDA">
            <w:pPr>
              <w:ind w:left="0"/>
              <w:jc w:val="center"/>
              <w:rPr>
                <w:b/>
                <w:sz w:val="20"/>
                <w:szCs w:val="20"/>
              </w:rPr>
            </w:pPr>
          </w:p>
          <w:p w:rsidR="00CC028A" w:rsidRPr="00302810" w:rsidRDefault="00CC028A" w:rsidP="00556BDA">
            <w:pPr>
              <w:ind w:left="0"/>
              <w:jc w:val="center"/>
              <w:rPr>
                <w:b/>
                <w:sz w:val="20"/>
                <w:szCs w:val="20"/>
              </w:rPr>
            </w:pPr>
            <w:r w:rsidRPr="00302810">
              <w:rPr>
                <w:b/>
                <w:sz w:val="20"/>
                <w:szCs w:val="20"/>
              </w:rPr>
              <w:t>Not in Place</w:t>
            </w:r>
          </w:p>
        </w:tc>
      </w:tr>
      <w:tr w:rsidR="00CC028A" w:rsidRPr="00302810" w:rsidTr="00556BDA">
        <w:tc>
          <w:tcPr>
            <w:tcW w:w="3798" w:type="dxa"/>
            <w:shd w:val="clear" w:color="auto" w:fill="auto"/>
          </w:tcPr>
          <w:p w:rsidR="00CC028A" w:rsidRPr="00302810" w:rsidRDefault="00CC028A" w:rsidP="00556BDA">
            <w:pPr>
              <w:ind w:left="0"/>
              <w:jc w:val="both"/>
              <w:rPr>
                <w:sz w:val="20"/>
                <w:szCs w:val="20"/>
              </w:rPr>
            </w:pPr>
            <w:r w:rsidRPr="00302810">
              <w:rPr>
                <w:sz w:val="20"/>
                <w:szCs w:val="20"/>
              </w:rPr>
              <w:t>Food &amp; beverages sold in vending machines minimally meet state regulations</w:t>
            </w:r>
          </w:p>
        </w:tc>
        <w:tc>
          <w:tcPr>
            <w:tcW w:w="135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r>
      <w:tr w:rsidR="00CC028A" w:rsidRPr="00302810" w:rsidTr="00556BDA">
        <w:tc>
          <w:tcPr>
            <w:tcW w:w="3798" w:type="dxa"/>
            <w:shd w:val="clear" w:color="auto" w:fill="auto"/>
          </w:tcPr>
          <w:p w:rsidR="00CC028A" w:rsidRPr="00302810" w:rsidRDefault="00CC028A" w:rsidP="00556BDA">
            <w:pPr>
              <w:ind w:left="0"/>
              <w:jc w:val="both"/>
              <w:rPr>
                <w:sz w:val="20"/>
                <w:szCs w:val="20"/>
              </w:rPr>
            </w:pPr>
            <w:r w:rsidRPr="00302810">
              <w:rPr>
                <w:sz w:val="20"/>
                <w:szCs w:val="20"/>
              </w:rPr>
              <w:t>Food &amp; beverages sold a la carte (snack bars) minimally meet state regulations.</w:t>
            </w:r>
          </w:p>
        </w:tc>
        <w:tc>
          <w:tcPr>
            <w:tcW w:w="135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r>
      <w:tr w:rsidR="00CC028A" w:rsidRPr="00302810" w:rsidTr="00556BDA">
        <w:tc>
          <w:tcPr>
            <w:tcW w:w="3798" w:type="dxa"/>
            <w:shd w:val="clear" w:color="auto" w:fill="auto"/>
          </w:tcPr>
          <w:p w:rsidR="00CC028A" w:rsidRPr="00302810" w:rsidRDefault="00CC028A" w:rsidP="00556BDA">
            <w:pPr>
              <w:ind w:left="0"/>
              <w:jc w:val="both"/>
              <w:rPr>
                <w:sz w:val="20"/>
                <w:szCs w:val="20"/>
              </w:rPr>
            </w:pPr>
            <w:r w:rsidRPr="00302810">
              <w:rPr>
                <w:sz w:val="20"/>
                <w:szCs w:val="20"/>
              </w:rPr>
              <w:t>Food &amp; beverages sold as fund raisers during school hours minimally meet state regulations.</w:t>
            </w:r>
          </w:p>
        </w:tc>
        <w:tc>
          <w:tcPr>
            <w:tcW w:w="135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r>
      <w:tr w:rsidR="00CC028A" w:rsidRPr="00302810" w:rsidTr="00556BDA">
        <w:tc>
          <w:tcPr>
            <w:tcW w:w="3798" w:type="dxa"/>
            <w:shd w:val="clear" w:color="auto" w:fill="auto"/>
          </w:tcPr>
          <w:p w:rsidR="00CC028A" w:rsidRPr="00302810" w:rsidRDefault="00CC028A" w:rsidP="00556BDA">
            <w:pPr>
              <w:ind w:left="0"/>
              <w:jc w:val="both"/>
              <w:rPr>
                <w:sz w:val="20"/>
                <w:szCs w:val="20"/>
              </w:rPr>
            </w:pPr>
            <w:r w:rsidRPr="00302810">
              <w:rPr>
                <w:sz w:val="20"/>
                <w:szCs w:val="20"/>
              </w:rPr>
              <w:t>Food &amp; beverages sold as fund raisers before and after school hours minimally meet state regulations.</w:t>
            </w:r>
          </w:p>
        </w:tc>
        <w:tc>
          <w:tcPr>
            <w:tcW w:w="135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r>
      <w:tr w:rsidR="00CC028A" w:rsidRPr="00302810" w:rsidTr="00556BDA">
        <w:tc>
          <w:tcPr>
            <w:tcW w:w="3798" w:type="dxa"/>
            <w:shd w:val="clear" w:color="auto" w:fill="auto"/>
          </w:tcPr>
          <w:p w:rsidR="00CC028A" w:rsidRPr="00302810" w:rsidRDefault="00CC028A" w:rsidP="00556BDA">
            <w:pPr>
              <w:ind w:left="0"/>
              <w:jc w:val="both"/>
              <w:rPr>
                <w:sz w:val="20"/>
                <w:szCs w:val="20"/>
              </w:rPr>
            </w:pPr>
            <w:r w:rsidRPr="00302810">
              <w:rPr>
                <w:sz w:val="20"/>
                <w:szCs w:val="20"/>
              </w:rPr>
              <w:t>Your school provides nutrition education activities that align with state standards.</w:t>
            </w:r>
          </w:p>
        </w:tc>
        <w:tc>
          <w:tcPr>
            <w:tcW w:w="135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c>
          <w:tcPr>
            <w:tcW w:w="1440" w:type="dxa"/>
            <w:shd w:val="clear" w:color="auto" w:fill="auto"/>
          </w:tcPr>
          <w:p w:rsidR="00CC028A" w:rsidRPr="00302810" w:rsidRDefault="00CC028A" w:rsidP="00556BDA">
            <w:pPr>
              <w:ind w:left="0"/>
              <w:jc w:val="both"/>
              <w:rPr>
                <w:sz w:val="20"/>
                <w:szCs w:val="20"/>
              </w:rPr>
            </w:pPr>
          </w:p>
        </w:tc>
      </w:tr>
    </w:tbl>
    <w:p w:rsidR="00CC028A" w:rsidRDefault="00CC028A" w:rsidP="00CC028A">
      <w:pPr>
        <w:ind w:left="0"/>
        <w:jc w:val="both"/>
        <w:rPr>
          <w:szCs w:val="24"/>
        </w:rPr>
      </w:pPr>
    </w:p>
    <w:p w:rsidR="00CC028A" w:rsidRDefault="00CC028A" w:rsidP="00CC028A">
      <w:pPr>
        <w:ind w:left="0"/>
        <w:jc w:val="both"/>
        <w:rPr>
          <w:szCs w:val="24"/>
        </w:rPr>
      </w:pPr>
      <w:r>
        <w:rPr>
          <w:szCs w:val="24"/>
        </w:rPr>
        <w:t>A copy of the School Wellness Plan should be signed by the principal and kept in the school files.</w:t>
      </w:r>
    </w:p>
    <w:p w:rsidR="00CC028A" w:rsidRPr="00FA6B77" w:rsidRDefault="00CC028A" w:rsidP="00CC028A">
      <w:pPr>
        <w:ind w:left="0"/>
        <w:jc w:val="both"/>
        <w:rPr>
          <w:szCs w:val="24"/>
        </w:rPr>
      </w:pPr>
      <w:r>
        <w:rPr>
          <w:szCs w:val="24"/>
        </w:rPr>
        <w:t xml:space="preserve"> </w:t>
      </w:r>
    </w:p>
    <w:p w:rsidR="00CC028A" w:rsidRPr="00177DF9" w:rsidRDefault="00CC028A" w:rsidP="00CC028A">
      <w:pPr>
        <w:ind w:left="0"/>
        <w:rPr>
          <w:sz w:val="18"/>
          <w:szCs w:val="18"/>
        </w:rPr>
      </w:pPr>
      <w:r>
        <w:rPr>
          <w:sz w:val="18"/>
          <w:szCs w:val="18"/>
        </w:rPr>
        <w:t xml:space="preserve">Reviewed </w:t>
      </w:r>
      <w:r w:rsidR="00C95AA2">
        <w:rPr>
          <w:sz w:val="18"/>
          <w:szCs w:val="18"/>
        </w:rPr>
        <w:t>6/2020</w:t>
      </w:r>
      <w:r w:rsidR="00031592">
        <w:rPr>
          <w:sz w:val="18"/>
          <w:szCs w:val="18"/>
        </w:rPr>
        <w:t>, 7/2021</w:t>
      </w:r>
      <w:r w:rsidR="0061575E">
        <w:rPr>
          <w:sz w:val="18"/>
          <w:szCs w:val="18"/>
        </w:rPr>
        <w:t>, 7/2022</w:t>
      </w:r>
      <w:bookmarkStart w:id="0" w:name="_GoBack"/>
      <w:bookmarkEnd w:id="0"/>
    </w:p>
    <w:p w:rsidR="00CC028A" w:rsidRDefault="00CC028A" w:rsidP="00CC028A">
      <w:pPr>
        <w:ind w:left="0"/>
      </w:pPr>
    </w:p>
    <w:p w:rsidR="00CC028A" w:rsidRDefault="00CC028A" w:rsidP="00CC028A">
      <w:pPr>
        <w:ind w:left="0"/>
      </w:pPr>
    </w:p>
    <w:p w:rsidR="00CC028A" w:rsidRDefault="00CC028A" w:rsidP="00CC028A">
      <w:pPr>
        <w:ind w:left="0"/>
      </w:pPr>
    </w:p>
    <w:p w:rsidR="00CC028A" w:rsidRDefault="00CC028A" w:rsidP="00CC028A">
      <w:pPr>
        <w:ind w:left="0"/>
      </w:pPr>
    </w:p>
    <w:p w:rsidR="009A37C9" w:rsidRDefault="009A37C9" w:rsidP="002C3910">
      <w:pPr>
        <w:ind w:left="0"/>
      </w:pPr>
    </w:p>
    <w:sectPr w:rsidR="009A37C9" w:rsidSect="002C3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12"/>
    <w:rsid w:val="00031592"/>
    <w:rsid w:val="00177DF9"/>
    <w:rsid w:val="002C3910"/>
    <w:rsid w:val="002D6246"/>
    <w:rsid w:val="00302810"/>
    <w:rsid w:val="00381973"/>
    <w:rsid w:val="003C2E48"/>
    <w:rsid w:val="003E11B0"/>
    <w:rsid w:val="00423D88"/>
    <w:rsid w:val="00556BDA"/>
    <w:rsid w:val="00581612"/>
    <w:rsid w:val="0061575E"/>
    <w:rsid w:val="007013C2"/>
    <w:rsid w:val="008120F6"/>
    <w:rsid w:val="00861DD4"/>
    <w:rsid w:val="009A37C9"/>
    <w:rsid w:val="00C95AA2"/>
    <w:rsid w:val="00CC028A"/>
    <w:rsid w:val="00D635C1"/>
    <w:rsid w:val="00E248A6"/>
    <w:rsid w:val="00FA6B77"/>
    <w:rsid w:val="00FD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3C4E"/>
  <w15:chartTrackingRefBased/>
  <w15:docId w15:val="{DA1C42A5-DBFB-48F0-B7F6-AAEEA50C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8A6"/>
    <w:pPr>
      <w:ind w:left="720"/>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D6246"/>
    <w:rPr>
      <w:rFonts w:ascii="Cambria" w:eastAsia="Times New Roman" w:hAnsi="Cambria"/>
      <w:sz w:val="20"/>
      <w:szCs w:val="20"/>
    </w:rPr>
  </w:style>
  <w:style w:type="table" w:styleId="TableGrid">
    <w:name w:val="Table Grid"/>
    <w:basedOn w:val="TableNormal"/>
    <w:uiPriority w:val="59"/>
    <w:rsid w:val="00FA6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AA2"/>
    <w:rPr>
      <w:rFonts w:ascii="Segoe UI" w:hAnsi="Segoe UI" w:cs="Segoe UI"/>
      <w:sz w:val="18"/>
      <w:szCs w:val="18"/>
    </w:rPr>
  </w:style>
  <w:style w:type="character" w:customStyle="1" w:styleId="BalloonTextChar">
    <w:name w:val="Balloon Text Char"/>
    <w:link w:val="BalloonText"/>
    <w:uiPriority w:val="99"/>
    <w:semiHidden/>
    <w:rsid w:val="00C95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Catholic Charities</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Schelp, Pat</dc:creator>
  <cp:keywords/>
  <cp:lastModifiedBy>Sanderson, Jerry</cp:lastModifiedBy>
  <cp:revision>2</cp:revision>
  <cp:lastPrinted>2018-07-13T18:58:00Z</cp:lastPrinted>
  <dcterms:created xsi:type="dcterms:W3CDTF">2022-07-15T21:11:00Z</dcterms:created>
  <dcterms:modified xsi:type="dcterms:W3CDTF">2022-07-15T21:11:00Z</dcterms:modified>
</cp:coreProperties>
</file>